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«Мастер осанки» на нарушение его конституционных прав подпунктом 1 пункта 2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«Мастер осанки»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«Мастер осанки» (далее также – ООО «Мастер осанки») оспаривает конституционность подпункта 1 пункта 2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Из представленных материалов следует, что в деле о банкротстве хозяйственного общества определением арбитражного суда, оставленным судами вышестоящих инстанций без изменения, ООО «Мастер осанки», связанное с должником по критерию общности руководителя и единственного 2 участника (учредителя), отнесенное к контролирующим должника лицам как лицо, извлекавшее выгоду из недобросовестного поведения общего руководителя и участника – гражданина А., солидарно с названным гражданином привлечено к субсидиарной ответственности по обязательствам должника в связи с совершением сделки, повлекшей отчуждение основного актива должника без равноценного встречного предоставления.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ООО «Мастер осанки», подпункт 1 пункта 2 статьи 6111 Федерального закона «О несостоятельности (банкротстве)» не соответствует Конституции Российской Федерации, в частности ее статье 54, поскольку позволяет признавать основанием субсидиарной ответственности действия, совершенные до вступления оспариваемой нормы в силу.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«Мастер осанки»,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