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части первой статьи 98 «Распределение судебных расходов между сторонами» ГПК Российской Федерации. Как следует из представленных материалов, решением мирового судьи – с учетом дополнительного решения и изменений, внесенных судом апелляционной инстанции, – исковые требования С.В.Шершакова к обществу с ограниченной ответственностью о защите прав потребителя удовлетворены частично, в том числе взысканы в пользу заявителя судебные расходы, с чем согласился кассационный суд общей юрисдикции. 2 По мнению С.В.Шершакова, применение судом части первой статьи 98 ГПК Российской Федерации без учета ее действительного содержания нарушает его права, гарантированные статьями 19 (части 1 и 2) и 21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