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Сергея Борисовича на нарушение его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С.Б.Сидорова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С.Б.Сидоров оспаривает конституционность части третьей статьи 3907 ГПК Российской Федерации, согласно которой</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названная норма не допускает произвольного отказа в удовлетворении кассационных жалоб, поскольку во 3 взаимосвязи с другими предписаниями главы 41 этого же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Кроме того, данная процедура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а, по сути, представляет собой повторное изучение доводов, изложенных в кассационной жалобе, Председателем Верховного Суда Российской Федерации,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Таким образом, оспариваемая норма,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не может рассматриваться в качестве нарушающей конституционные права заявителя в указанном в жалобе аспекте. Оценка же того, имелись ли основания для передачи кассационной жалобы С.Б.Сидорова для рассмотрения в судебном заседании суда кассационной инстанции,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Что касается требования заявителя о проверке оспариваемой нормы на соответствие Конвенции о защите прав человека и основных свобод, то в связи с прекращением членства Российской Федерации в Совете Европы с 16 марта 2022 года ее действие для Российской Федерации прекращено. При этом и до прекращения ее действия проверка соответствия нормативных 4 актов положениям Конвенции о защите прав человека и основных свобод не относилась к компетенции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Сергея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