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Тагашевой Татьяны Александровны на нарушение ее конституционных прав статьями 134 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Т.А.Тагашевой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Т.А.Тагашева оспаривает конституционность следующих положений Трудового кодекса Российской Федерации: статьи 134, в соответствии с которой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услуги; государственные органы, органы местного самоуправления,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2 другие работодатели – в порядке, установленном коллективным договором, соглашениями, локальными нормативными актами; статьи 392, а фактически ее части второй, согласно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По мнению заявительницы, оспариваемые нормы, примененные в ее деле судом, противоречат Конституции Российской Федерации, в частности ее статьям 17, 37 (части 1–3), 46 (часть 1) и 55 (часть 3), поскольку позволяют судам отказывать работнику во взыскании задолженности по индексации заработной платы в связи с пропуском срока обращения в суд, притом что порядок индексации заработной платы работодателем в локальном нормативном акте не установлен.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Тагашевой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