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Кроес Анны Николаевны на нарушение ее конституционных прав пунктом 3 статьи 65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А.Н.Кроес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А.Н.Кроес оспаривает конституционность пункта 3 статьи 65 Семейного кодекса Российской Федерации, а фактически – его абзацев первого и второго, посвященных определению места жительства детей при раздельном проживании родителей.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место жительства несовершеннолетнего сына гражданина К. и А.Н.Кроес определено с матерью. Определением суда первой инстанции отказано в удовлетворении заявления А.Н.Кроес о разъяснении названного решения. Суд отметил, что 2 заявительница, просившая указать на обязанность К. передать ей ребенка, фактически требовала изменить резолютивную часть решения суда; суд же вправе по заявлению лиц, участвующих в деле, разъяснить решение, не изменяя его содержания. Кроме того, определением суда первой инстанции положения исполнительного документа, выданного на основании этого решения суда, разъяснены по заявлению судебного пристава-исполнителя, а именно указано, что ему надлежит выполнить действия, направленные на передачу ребенка А.Н.Кроес. Апелляционным определением названное определение отменено со ссылкой на то, что суд первой инстанции фактически изменил содержание судебного решения и вышел за пределы разрешенных судом исковых требований. В передаче кассационной жалобы А.Н.Кроес на это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пункт 3 статьи 65 Семейного кодекса Российской Федерации противоречит Конституции Российской Федерации, в частности ее статьям 19 (часть 1) и 46 (часть 1), поскольку он позволяет считать, что отец не обязан передавать матери несовершеннолетнего ребенка, место жительства которого определено с ней, и допускает противоположные выводы судов по вопросам о том, возникает ли у родителя обязанность передать ребенка другому родителю, с которым определено место жительства ребенка, и вправе ли судебный пристав-исполнитель совершить действия, направленные на передачу ребенка, если в судебном постановлении нет указания на соответствующую обязанность должника.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Кроес Анны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