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рядом норм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пункта 2 части первой статьи 81 «Расторжение трудового договора по инициативе работодателя» и статьи 396 «Исполнение решений о восстановлении на работе» Трудового кодекса Российской Федерации. Заявитель также просит признать не соответствующими Конституции Российской Федерации пункт 19 статьи 29 «Статус членов комиссий»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часть 1 статьи 106 «Исполнение содержащегося в исполнительном документе требования о восстановлении на работе и 2 последствия его неисполнения» Федерального закона от 2 октября 2007 года № 229-ФЗ «Об исполнительном производстве». По мнению заявителя, оспариваемые нормы противоречат Конституции Российской Федерации, в частности ее статьям 2, 4 (часть 2), 17 (части 1 и 3), 18, 19 (части 1 и 2), 32 (части 1 и 2), 45 (часть 1), 46 (часть 1), 55 (часть 3) и 123 (часть 3), поскольку позволяют судам признавать завершенным восстановление работника на работе без издания работодателем приказа об отмене ранее принятого приказа об увольнении и фактического допущения работника к работе, а также признавать законным последующее увольнение восстановленного на работе работника, являющегося членом избирательной комиссии с правом решающего голоса, по основанию, предусмотренному пунктом 2 части первой статьи 81 Трудового кодекса Российской Федерации (сокращение численности или штата работников организации, индивидуального предпринимателя).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396 Трудового кодекса Российской Федерации и часть 1 статьи 106 Федерального закона «Об исполнительном производстве» предусматривают немедленное исполнение судебных решений по делам о восстановлении на работе, которые считаются фактически исполненными, если взыскатель допущен к исполнению прежних трудовых обязанностей и отменен приказ (распоряжение) об увольнении или о переводе взыскателя. Данные законоположения, таким образом, направлены на защиту и скорейшее восстановление прав работников, нарушенных незаконным увольнением, не предполагают окончание исполнительного производства при неисполнении работодателем решения суда о восстановлении на работе, а потому не могут считаться нарушающими конституционные права заявителя, указанные в жалобе. Пункт 2 части первой статьи 81 Трудового кодекса Российской Федерации, предусматривая такое основание увольнения работника по 3 инициативе работодателя, как сокращение численности или штата работников, направлен на реализацию работодателем закрепленного Конституцией Российской Федерации (статья 34, часть 1; статья 35, часть 2) права на осуществление эффективной экономической деятельности и рациональное управление имуществом, предполагающего возможность самостоятельно, под свою ответственность принимать необходимые кадровые решения (подбор, расстановка, увольнение персонала) при соблюдении установленного порядка увольнения и гарантий трудовых прав работников, направленных против произвольного увольнения. Законность увольнения по указанному основанию может быть проверена в судебном порядке. Таким образом, данное положение Трудового кодекса Российской Федерации не предполагает произвольного применения и не может расцениваться как нарушающее права заявителя. Пункт 19 статьи 29 Федерального закона «Об основных гарантиях избирательных прав и права на участие в референдуме граждан Российской Федерации», выступая способом обеспечения исполнения публично значимых функций работником – членом избирательной комиссии с правом решающего голоса, вопреки утверждению А.Н.Малинина, вводит ограничение увольнения такого работника по инициативе работодателя, а потому не может рассматриваться как нарушающий права заявителя в указанном в жалобе аспекте. Проверка же обоснованности судебных постановлений по делам А.Н.Малинина, с которыми, как следует из содержания жалобы, он выражает несогласие,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