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Борцовой Елизаветы Александровны на нарушение ее конституционных прав пунктами 4 и 5 части первой статьи 23 и пунктом 1 части второй статьи 3904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Е.А.Борцовой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Е.А.Борцова оспаривает конституционность пунктов 4 и 5 части первой статьи 23 «Гражданские дела, подсудные мировому судье» и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отменено решение мирового судьи и отказано в удовлетворении 2 исковых требований Е.А.Борцовой к туроператору о компенсации морального вреда, взыскании убытков и штрафа. По мнению заявительницы, оспариваемые законоположения не соответствуют статьям 19 (части 1 и 2), 46 (части 1 и 2) и 56 (часть 3) Конституции Российской Федерации, поскольку в отсутствие законодательного определения понятия «имущественный спор» они создают неопределенность в установлении подсудности гражданского дела, а также поскольку они не допускают возможность обжалования в Судебную коллегию по гражданским делам Верховного Суда Российской Федерации судебных постановлений, принятых по делу, подсудному мировому судье.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Борцовой Елизаветы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