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Зуевой Маргариты Константиновны на нарушение ее конституционных прав пунктом 1 статьи 177 и пунктом 1 статьи 178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М.К.Зуевой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М.К.Зуева, которой отказано в удовлетворении исковых требований в том числе о признании договора дарения жилого помещения недействительным, оспаривает конституционность следующих положений Гражданского кодекса Российской Федерации: пункта 1 статьи 177, предусматривающего, что сделка, совершенная гражданином, хотя и дееспособным, но находившимся в момент ее совершения в таком состоянии, когда он не был способен понимать значение своих действий или руководить ими, может быть признана судом 2 недействительной по иску этого гражданина либо иных лиц, чьи права или охраняемые законом интересы нарушены в результате ее совершения; пункта 1 статьи 178, согласно которому сделка, совершенная под влиянием заблуждения, может быть признана судом недействительной по иску стороны, действовавшей под влиянием заблуждения, если заблуждение было настолько существенным, что эта сторона, разумно и объективно оценивая ситуацию, не совершила бы сделку, если бы знала о действительном положении дел. По мнению заявительницы, оспариваемые нормы противоречат статье 40 (часть 1) Конституции Российской Федерации в той мере, в какой они нарушают безусловное право на жилище и на защиту от его лишения, в частности ставят в дискриминационное положение лицо, которое, находясь в одном из описанных ими состояний, совершило безвозмездное отчуждение жилища, а также не предусматривают четкого механизма установления и подтверждения факта пребывания лица в описанных ими состояниях. Кроме того, заявительница считает, что право на жилище предполагает в том числе и гарантии его восстановления при наличии малейших сомнений в направленности истинной воли правообладателя на безвозмездное лишение себя жилища; неспособность лица до конца понимать правовую сущность сделки в отношении принадлежащего ему жилища ввиду пребывания в одном из указанных состояний влечет необоснованные преимущества для приобретателя, причем правоприменительная практика при рассмотрении соответствующих споров ограничивается лишь критерием дееспособности или недееспособности.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177 ГК Российской Федерации основан на необходимости учета действительной воли лиц, совершающих сделки, и содержит правовой механизм, позволяющий как сохранять юридический эффект оспоримой сделки, так и обеспечивать защиту интересов лиц, чьи 3 права и законные интересы были нарушены такой сделкой (определения Конституционного Суда Российской Федерации от 19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Зуевой Маргариты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