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Кирсанова Сергея Александровича на нарушение его конституционных прав пунктом 6 статьи 26 Федерального закона «Об органах судейского сообщества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С.А.Кирсанова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С.А.Кирсанов оспаривает конституционность пункта 6 статьи 26 «Обжалование решений квалификационных коллегий судей» Федерального закона от 14 марта 2002 года № 30-ФЗ «Об органах судейского сообщества в Российской Федерации». Как следует из представленных материалов, определением судьи Верховного Суда Российской Федерации С.А.Кирсанову было отказано в принятии административного искового заявления о признании незаконным ответа Высшей квалификационной коллегии судей Российской Федерации на его обращение о привлечении судьи к дисциплинарной ответственности со ссылкой на то, что данный ответ не относится к числу решений квалификационных коллегий судей, которые могут быть обжалованы в судебном порядке. 2 По мнению заявителя, пункт 6 статьи 26 Федерального закона «Об органах судейского сообщества в Российской Федерации» не соответствует статьям 2, 19, 33, 45 и 46 (части 1 и 2) Конституции Российской Федерации, поскольку позволяет отказывать в принятии к рассмотрению административного искового заявления о признании незаконным противоречащего требованиям законодательства ответа Высшей квалификационной коллегии судей Российской Федерации на обращение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Кирсанова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