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Шлосберга Льва Марковича на нарушение его конституционных прав частью 4 статьи 337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Л.М.Шлосберга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Л.М.Шлосберг оспаривает конституционность части 4 статьи 337 «Рассмотрение надзорных жалобы, представления» КАС Российской Федерации. Как следует из представленных материалов, Л.М.Шлосбергу было отказано в передаче надзорной жалобы для рассмотрения в судебном заседании Президиума Верховного Суда Российской Федерации определением судьи Верховного Суда Российской Федерации от 23 декабря 2021 года, с которым не нашел оснований не согласиться заместитель 2 Председателя этого суда, о чем заявитель был уведомлен письмом от 28 декабря 2022 года. По мнению Л.М.Шлосберга, оспариваемое законоположение не соответствует Конституции Российской Федерации, в частности ее статье 46 (часть 1), поскольку не определяет основания, позволяющие Председателю Верховного Суда Российской Федерации, его заместителю не согласиться с определением судьи Верховного Суда Российской Федерации об отказе в передаче надзорной жалобы для рассмотрения в судебном заседании Президиума Верховного Суда Российской Федерации, и тем самым допускает применение законодательства вопреки его истолкованию, данному Конституционным Судом Российской Федерации в Определении от 28 июня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Шлосберга Льва Марковича,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