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редакции информационного агентства «Время» на нарушение ее конституционных прав статьей 239 Кодекса административного судопроизводства Российской Федерации, а также пунктами 7 и 10 статьи 75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редакции информационного агентства «Время»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Редакция информационного агентства «Время» в лице главного редактора – гражданина В.В.Егорова оспаривает конституционность пунктов 7 и 10 статьи 75 «Обжалование решений и действий (бездействия), нарушающих избирательные права и право на участие в референдуме граждан Российской Федерации» Федерального закона от 12 июня 2002 года № 67-ФЗ «Об основных гарантиях избирательных прав и права на участие в 2 референдуме граждан Российской Федерации», а также статьи 239 «Обращение в суд с административным исковым заявлением о защите избирательных прав и права на участие в референдуме граждан Российской Федерации» КАС Российской Федерации. Как следует из представленных материалов, решением суда, с которым согласились суды вышестоящих инстанций, заявителю отказано в удовлетворении административного искового заявления о признании незаконным решения (ответа) секретаря Центральной избирательной комиссии Российской Федерации, которым была возвращена жалоба заявителя на постановление Избирательной комиссии Ярославской области о признании недействительной дополнительной аккредитации представителей информационного агентства «Время» – В.В.Егорова и гражданки К. на досрочных выборах главы городского округа город Рыбинск, назначенных на 22 мая 2022 года, в связи с тем, что указанные лица включены в реестр иностранных средств массовой информации, выполняющих функции иностранного агента. Суды указали, что установленные Федеральным законом «Об основных гарантиях избирательных прав и права на участие в референдуме граждан Российской Федерации» правила обжалования в системе избирательных комиссий решений, действий (бездействия) избирательных комиссий, нарушающих избирательные права, не предусматривают возможности подачи в избирательную комиссию жалобы от имени средства массовой информации. По мнению заявителя, оспариваемые законоположения не соответствуют статьям 2, 17 (части 1 и 3), 18, 19 (часть 1), 29 (части 1, 4 и 5), 33, 45, 46 (часть 1) и 55 Конституции Российской Федерации в той мере, в какой они исключают для средств массовой информации возможность обжалования решений избирательных комиссий о признании аккредитации их представителей недействительной в вышестоящую избирательную комиссию и в судебном порядке по правилам главы 24 КАС Российской Федерации и тем самым не 3 позволяют восстановить права средства массовой информации в пределах сроков избирательной кампании.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пункты 7 и 10 статьи 75 Федерального закона «Об основных гарантиях избирательных прав и права на участие в референдуме граждан Российской Федерации» и статья 239 КАС Российской Федерации являются элементами регулирования специального механизма, созданного федеральным законодателем для защиты избирательных прав и права на участие в референдуме граждан Российской Федерации. Тот факт, что урегулированный данными законоположениями специальный механизм не распространяется на жалобы средств массовой информации на решения избирательных комиссий об отказе в аккредитации их представителей или признании аккредитации недействительной, не свидетельствует о нарушении ими прав средств массовой информации, в том числе поскольку защита прав средств массовой информации может быть осуществлена в ином установленном законодательством порядке.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редакции информационного агентства «Время»,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