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Прокудина Антона Владимировича на нарушение его конституционных прав частью 14 статьи 58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А.В.Прокудина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А.В.Прокудин оспаривает конституционность части 14 статьи 58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согласно которой предоставление сотруднику отпуска, соединение или разделение отпусков, продление или перенос отпуска, замена части отпуска денежной 2 компенсацией и отзыв сотрудника из отпуска оформляются приказом руководителя федерального органа уголовно-исполнительной системы или уполномоченного руководителя. Как следует из представленных материалов, в 2021 году заявитель был уволен со службы в уголовно-исполнительной системе по основанию, предусмотренному пунктом 6 части 2 статьи 84 Федерального закона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(в связи с грубым нарушением служебной дисциплины). По мнению А.В.Прокудина, оспариваемая норма, примененная в его деле судами общей юрисдикции, не соответствует статьям 7, 19, 37 (части 1, 2 и 5), 38 (части 1 и 2), 39 (часть 1), 45 (часть 1) и 55 (часть 2) Конституции Российской Федерации, поскольку по смыслу, придаваемому ей в системе действующего правового регулирования правоприменительной практикой, допускает возможность разрешения всех вопросов об отпусках сотрудников исключительно посредством оформления приказа соответствующего руководителя без учета положений статьи 2622 Трудового кодекса Российской Федерации, согласно которой 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14 статьи 58 Федерального закона «О службе в уголовно- 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закрепляя правило, согласно которому реализация сотрудниками уголовно-исполнительной системы права на отпуск оформляется приказом руководителя федерального органа 3 уголовно-исполнительной системы или уполномоченного руководителя, каких-либо прав и обязанностей сотрудников уголовно-исполнительной системы не устанавливает и направлена исключительно на упорядочение служебных отношений. Тем самым обеспечивается соблюдение графика отпусков, согласованного с учетом, с одной стороны, интересов сотрудников уголовно- исполнительной системы и учреждений, исполняющих наказания, а также иных субъектов уголовно-исполнительной системы (включая территориальные органы уголовно-исполнительной системы и федеральный орган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и др.), с другой стороны. Таким образом, посредством оспариваемого законоположения гарантируется надлежащее разрешение организационных вопросов и эффективное функционирование уголовно-исполнительной системы. Следовательно, данная норма не может рассматриваться как нарушающая конституционные права заявителя как сама по себе, так и во взаимосвязи со статьей 2622 Трудового кодекса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Прокудина Антона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