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Бегларян Людмилы Мисаковны на нарушение ее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Л.М.Бегларян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Л.М.Бегларян оспаривает конституционность пункта 1 статьи 234 (также ошибочно указан в жалобе как часть 4 статьи 252) ГК Российской Федерации, устанавливающего, что лицо – гражданин или юридическое лицо,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данной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давность); право собственности на недвижимое и иное имущество, подлежащее государственной регистрации, возникает у лица, 2 приобретшего это имущество в силу приобретательной давности, с момента такой регистрации. Как следует из представленных материалов, решением суда общей юрисдикции, оставленным без изменения судами вышестоящих инстанций, Л.М.Бегларян отказано в удовлетворении искового требования о признании права собственности на жилое помещение в порядке приобретательной давности. При этом суд апелляционной инстанции отметил, что заявительница вела переговоры о купле-продаже спорной квартиры, которые не окончились заключением соответствующего договора. В передаче кассационной жалобы на эти судебные постановления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1 статьи 234 ГК Российской Федерации противоречит Конституции Российской Федерации, поскольку по смыслу, придаваемому ему правоприменительной практикой, не позволяет признать заявительницу, которая понесла расходы на содержание жилого помещения, добросовестным приобретателем.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Бегларян Людмилы Мисаковны,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