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«Офис-Центр» на нарушение его конституционных прав пунктами 4.5, 4.5.1 и 4.5.2 Порядка рассмотрения и отбора инвестиционных проектов, предусматривающих строительство объектов социально- культурного и (или) коммунально-бытового назначения, масштабных инвестиционных проектов в целях признания их приоритетными инвестиционными проектами Хабаровского края и определения их соответствия критериям, которым должны соответствовать объекты социально-культурного и коммунально- 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«Офис-Центр»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«Офис-Центр» (далее также – общество), которому отказано в удовлетворении исковых требований 2 к министерству экономического развития Хабаровского края и Правительству Хабаровского края о признании недействительным одностороннего отказа от инвестиционного соглашения, оспаривает конституционность пунктов 4.5, 4.5.1 и 4.5.2 Порядка рассмотрения и отбора инвестиционных проектов, предусматривающих строительство объектов социально-культурного и (или) коммунально-бытового назначения, масштабных инвестиционных проектов в целях признания их приоритетными инвестиционными проектами Хабаровского края и определения их соответствия критериям,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 (утвержден постановлением Правительства Хабаровского края от 26 сентября 2016 года № 331-пр в редакции постановления Правительства Хабаровского края от 30 июня 2018 года № 236-пр). По мнению общества, оспариваемые положения противоречат статьям 19, 34 (часть 1), 35 (части 1–3), 36 и 55 (часть 3) Конституции Российской Федерации в той мере, в какой они в силу правовой неопределенности и по смыслу, придаваемому им правоприменительной практикой, предполагают наличие у инвестиционного совета при Правительстве Хабаровского края права пересмотреть ранее принятое на основании заявления субъекта инвестиционной деятельности решение о признании целесообразным внесения изменений в инвестиционное соглашение и рекомендации Правительству Хабаровского края заключить дополнительное соглашение – путем повторного рассмотрения данного заявления и вынесения противоположного решения – о признании нецелесообразным внесения изменений в инвестиционное соглашение и рекомендации Правительству Хабаровского края отказать субъекту инвестиционной деятельности в заключении дополнительного соглашения и расторгнуть инвестиционное соглашение.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направлены на соблюдение необходимого баланса частных и публичных интересов при регулировании инвестиционной деятельности, не содержат неопределенности и не могут расцениваться как нарушающие конституционные права общества, доводы которого свидетельствуют о том, что, обращаясь с жалобой на нарушение его конституционных прав, оно, по существу, предлагает Конституционному Суду Российской Федерации оценить обоснованность соответствующих судебных актов.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«Офис-Центр»,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