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«ЮИ-ТРЕЙД» на нарушение его конституционных прав рядом норм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«ЮИ-ТРЕЙД»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«ЮИ-ТРЕЙД» (далее также – общество) оспаривает конституционность части первой статьи 309 «Общие положения», статьи 398 «Последствия неисполнения обязательства передать индивидуально-определенную вещь», пунктов 1 и 4 статьи 421 «Свобода договора», пункта 1 статьи 702 «Договор подряда», пункта 1 статьи 713 «Выполнение работы с использованием материала заказчика», пункта 1 статьи 779 «Договор возмездного оказания услуг» ГК Российской Федерации. 2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искового требования общества с ограниченной ответственностью «ЮИ-ТРЕЙД» об обязании ответчика исполнить в полном объеме обязательства по договору на переработку сырья в части переработки сырья, переданного по конкретной спецификации, путем возврата аффинированных металлов. Суды исходили из того, что обществом не представлены доказательства фактического нахождения во владении ответчика спорного имущества для исполнения обязательства в натуре, при этом сочли доказанным факт полного и надлежащего исполнения ответчиком обязательств по спорной спецификации и отсутствия у последнего неисполненного встречного обязательства. По мнению заявителя, оспариваемые положения в их взаимосвязи не соответствуют статьям 17, 19, 34, 35, 45 и 46 Конституции Российской Федерации в той мере, в какой они по смыслу, придаваемому им правоприменительной практикой, позволяют лишить собственника его имущества в отсутствие закрепленных законом оснований и процедур, лишь в силу установления судом факта, подтверждающего, что условия заключенного сторонами договора не нарушены контрагентом, без исследования и оценки качества имущества, принадлежащего обществу на праве собственности до момента передачи его контрагенту, и количества этого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не могут расцениваться как нарушающие в указанном в жалобе аспекте конституционные права общества, доводы которого, в том числе относительно полноты исследования обстоятельств спора, о нормах права, подлежащих, по мнению заявителя, применению судами, свидетельствуют о том, что, формально оспаривая их конституционность, оно, по существу, предлагает Конституционному Суду 3 Российской Федерации оценить обоснованность судебных актов, вынесенных по делу с его участием. Между тем,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статьи 398 ГК Российской Федерации в конкретном деле с участием заявителя. Конституционный Суд Российской Федерации неоднократно отмечал, что сама по себе ссылка в судебном решении на то или иное положение не означает, что оно применялось судом в деле заявителя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«ЮИ-ТРЕЙД»,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