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«Среднеуральское поисковое бюро» на нарушение его конституционных прав абзацем первым пункта 5 статьи 340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«Среднеуральское поисковое бюро»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«Среднеуральское поисковое бюро» (далее также – ООО «Среднеуральское поисковое бюро») оспаривает конституционность абзаца первого пункта 5 статьи 340 Налогового кодекса Российской Федерации, в соответствии с которым оценка стоимости добытых драгоценных металлов, извлеченных из коренных (рудных), россыпных и техногенных месторождений, производится исходя из сложившихся у налогоплательщика в соответствующем налоговом периоде (а при их отсутствии – в ближайшем из предыдущих налоговых периодов) цен реализации химически чистого металла без учета налога на добавленную 2 стоимость, уменьшенных на расходы налогоплательщика по его аффинажу и доставке (перевозке) до получателя. Как следует из представленных материалов, вступившими в законную силу актами арбитражных судов отказано в удовлетворении заявления ООО «Среднеуральское поисковое бюро» о признании недействительными решений налогового органа в части доначисления ему суммы налога на добычу полезных ископаемых. При этом суды пришли к выводу, что согласно условиям договора на поставку золотосодержащей руды окончательное количество поставляемой руды и количественное содержание золота в руде подлежало установлению на основании акта приема-передачи товарной руды с указанием в нем фактического количества (грамм) химически чистого золота и серебра, содержащегося в партии товара, с учетом окончательных результатов химического анализа. Кроме того, судами подтверждено, что налогоплательщик в составе золотосодержащей руды в проверяемые периоды фактически произвел отчуждение драгоценного металла, получив выгоду исходя из непосредственного количества химически чистого металла, которое находилось в реализованной партии руды, а следовательно, им неверно определено реализуемое добытое полезное ископаемое, в результате чего занижен размер подлежащего уплате налога. По мнению ООО «Среднеуральское поисковое бюро», оспариваемое законоположение противоречит статьям 19 (часть 1) и 57 Конституции Российской Федерации, поскольку допускает его произвольное применение к налогоплательщику, реализующему только руду драгоценного металла, а не химически чистые драгоценные металлы.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правовым позициям Конституционного Суда Российской Федерации законы о налогах, принимаемые в целях обеспечения реализации конституционной обязанности каждого платить законно установленные 3 налоги и сборы (статья 57 Конституции Российской Федерации), должны быть конкретными и понятными, неопределенность же норм налогового законодательства может привести к не согласующемуся с принципом правового государства (статья 1, часть 1, Конституции Российской Федерации) произволу государственных органов и должностных лиц в их отношениях с налогоплательщиками и к нарушению равенства граждан перед законом (статья 19, часть 1, Конституции Российской Федерации); акты законодательства о налогах и сборах должны быть сформулированы таким образом, чтобы каждый точно знал, какие налоги и сборы, когда и в каком порядке он должен платить, причем все неустранимые сомнения, противоречия и неясности таких актов толкуются в пользу плательщика налога или сбора (пункты 6 и 7 статьи 3 Налогового кодекса Российской Федерации); неопределенность налоговых норм может приводить как к нарушению прав налогоплательщиков, так и к уклонению от исполнения конституционной обязанности по уплате налога (постановления от 8 октября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«Среднеуральское поисковое бюро»,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