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915440-О/2026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Брижана Павла Антоновича на нарушение его конституционных прав пунктом 2 статьи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П.А.Брижана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П.А.Брижан оспаривает конституционность пункта 2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Федерации, а фактически – положения этого пункта, согласно которому вред, причиненный при осуществлении правосудия, возмещается в случае, если вина судьи установлена приговором суда, вступившим в законную силу. Как следует из представленных материалов, приговором суда П.А.Брижан был осужден за совершение преступления, предусмотренного 2 частью первой статьи 306 «Заведомо ложный донос» УК Российской Федерации, с назначением ему уголовного наказания. Суд апелляционной инстанции отменил этот приговор по процессуальным основаниям и возвратил уголовное дело на новое рассмотрение в суд первой инстанции в ином составе, сохранив при этом избранную в отношении заявителя меру пресечения в виде подписки о невыезде и надлежащем поведении. По результатам нового рассмотрения уголовного дела судом первой инстанции вынесен новый приговор, вступивший в законную силу, которым заявитель вновь был признан виновным в совершении того же преступления с назначением ему аналогичного наказания. П.А.Брижан обратился в суд с иском о взыскании компенсации морального вреда, причиненного незаконным уголовным преследованием, в том числе применением к нему различных мер пресечения. Решением суда общей юрисдикции, оставленным без изменения судами апелляционной и кассационной инстанций, в удовлетворении иска заявителя отказано ввиду того, что по результатам нового рассмотрения уголовного дела он признан виновным в совершении вмененного ему преступления с назначением соответствующего наказания, а также ввиду недоказанности факта причинения заявителю морального вреда и отсутствия вступившего в законную силу судебного решения, которым была бы установлена вина судьи. Определением судьи Верховного Суда Российской Федерации отказано в передаче кассационной жалобы П.А.Брижана для рассмотрения в судебном заседании суда кассационной инстанции. По мнению заявителя, оспариваемое положение не соответствует статье 53 Конституции Российской Федерации, поскольку оно лишает граждан права на возмещение государством вреда, причиненного незаконными действиями судьи в ходе рассмотрения уголовного дела, приговор по которому был отменен из-за допущенных судьей процессуальных нарушений, в случае отсутствия вступившего в законную силу приговора суда в отношении указанного судьи.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пункта 2 статьи 1070 ГК Российской Федерации ранее уже являлось предметом рассмотрения Конституционного Суда Российской Федерации: в Постановлении от 25 января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Брижана Павла Антоновича,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