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Халтурина Вячеслава Аркадьевича на нарушение его конституционных прав пунктом 1 части 1 статьи 7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В.А.Халтурина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 которым согласились суды вышестоящих инстанций, отказано в удовлетворении исковых требований гражданина В.А.Халтурина к публичному акционерному обществу о признании недействительным решения совета директоров общества в части 2 решения об определении цены выкупа акций. При этом суды исходили, в частности, из того, что истцом не доказано наличие оснований для признания указанного решения совета директоров общества недействительным, нарушений законодательства при определении цены выкупа акций не допущено, причинение ущерба истцу не установлено, а, кроме того, истцом пропущен срок давности на обжалование решения совета директоров. В.А.Халтурин оспаривает конституционность пункта 1 части 1 статьи 7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По мнению заявителя, данное законоположение противоречит статье 35 (части 1 и 3) Конституции Российской Федерации в той мере, в какой оно по смыслу, придаваемому ему правоприменительной практикой, не ставит цену акций, выкупаемых акционерным обществом по требованию акционера, в зависимость от их рыночной стоимости.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Оспариваемым положением установлено, что до 1 июля 2023 года средневзвешенная цена акций, выкупаемых в случае принятия общим собранием акционеров публичного акционерного общества решения о его реорганизации, предусмотренного абзацем вторым пункта 1 статьи 75 Федерального закона от 26 декабря 1995 года № 208-ФЗ «Об акционерных обществах», определяется по результатам организованных торгов за один месяц, предшествующий дате принятия решения о проведении общего собрания акционеров, в повестку дня которого 3 включен вопрос о реорганизации публичного акционерного общества; при определении цены выкупа акций, допущенных к организованным торгам, определение их рыночной стоимости не требуется. Данное временное регулирование, предусматривающее определение средневзвешенной цены выкупаемых акций по результатам проведения организованных торгов, направлено на исключение случаев определения такой цены акций без должного учета текущих показателей рыночной стоимости акций, а также на снижение финансовых затрат публичных акционерных обществ при совершении корпоративных действий в условиях санкционных мер и не может расцениваться как нарушающее конституционные права заявителя, указанные в жалобе. Установление же и оценка фактических обстоятельств конкретного дела, в том числе в части правильности определения цены выкупаемых акций,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Халтурина Вячеслава Аркадьевича,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