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915157-П/2026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«Лизинг»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«Лизинг»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«Лизинг», которому письмом сотрудника аппарата Верховного Суда Российской Федерации была возвращена без рассмотрения как поданная с нарушением правил подсудности кассационная жалоба на судебные акты, принятые по рассмотренному в порядке упрощенного производства делу с его участием,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По мнению заявителя, оспариваемое законоположение противоречит Конституции Российской Федерации, ее статьям 19 (часть 1), 46 (части 1 и 2) и 2 55 (часть 3), поскольку предусматривает запрет на обжалование в Верховном Суде Российской Федерации судебных актов, принятых в порядке упрощенного 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«Лизинг»,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