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Медведевой Людмилы Николаевны на нарушение ее конституционных прав и конституционных прав ее несовершеннолетней дочери положением пункта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Л.Н.Медведевой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Л.Н.Медведева, действующая в своих интересах и в интересах своей несовершеннолетней дочери, оспаривает конституционность положения пункта 4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решением суда общей юрисдикции среди прочего гражданину М. отказано в удовлетворении 2 исковых требований к несовершеннолетней дочери заявительницы – в пользу которой Л.Н.Медведева в ходе рассмотрения дела произвела отчуждение доли (1/6) в праве собственности на квартиру – о прекращении права собственности с выплатой компенсации, о признании доли в праве общей собственности за М. Определением суда апелляционной инстанции решение суда общей юрисдикции в этой части отменено и принято новое решение об удовлетворении указанных требований. Суд апелляционной инстанции принял во внимание, в частности, незначительность доли, невозможность ее выдела в натуре, наличие неприязненных отношений между М. и Л.Н.Медведевой, не усмотрел оснований для признания несовершеннолетней дочери заявительницы нуждающейся в спорной квартире и имеющей существенный интерес в ее использовании, а также расценил действия Л.Н.Медведевой по отчуждению доли как злоупотребление правом.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2, 7 (часть 1), 17 (часть 1), 18, 19 (часть 1), 35, 38 (часть 1), 40 (часть 1) и 60 Конституции Российской Федерации, поскольку оно по смыслу, придаваемому ему правоприменительной практикой, допускает признание принадлежащей ребенку-инвалиду доли в праве общей долевой собственности на жилое помещение незначительной и принудительное лишение несовершеннолетнего права собственности помимо его воли на принадлежащее ему недвижимое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отмечал Конституционный Суд Российской Федерации, нормы пункта 4 статьи 252 ГК Российской Федерации, устанавливающие, что выплата участнику долевой собственности остальными собственниками компенсации вместо выдела его доли в натуре допускается с его согласия, а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компенсацию, направлены на достижение необходимого баланса интересов участников общей собственности. При этом суд, принимая решение о выплате выделяющемуся сособственнику компенсации вместо выдела его доли в натуре и определяя размер и порядок ее выплаты, в каждом конкретном случае учитывает все имеющие значение обстоятельства дела и руководствуется общеправовыми принципами справедливости и соразмерности (определения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Медведевой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