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Перфильева Александра Александровича на нарушение его конституционных прав частями первой – третьей статьи 32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А.А.Перфильева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удовлетворении доводов жалобы о пересмотре постановления Центрального районного суда города Тюмени, которым уголовное дело в отношении гражданина А.А.Перфильева и других было направлено по подсудности в Советский районный суд города Самары. Доводы стороны защиты о неправомерности такого направления отклонены с разъяснением, в частности, что суд первой инстанции при принятии указанного решения исходил из содержащихся в обвинительном заключении данных о совершении действий, составляющих объективную сторону большинства 2 вмененных обвиняемым преступлений, на территории, на которую распространяется юрисдикция именно Советского районного суда города Самары, тогда как остальные инкриминируемые преступления были окончены на территории различных субъектов Российской Федерации. Констатировано, что оспоренное решение суда соответствует части третьей статьи 32 УПК Российской Федерации и согласуется с разъяснениями, содержащимися в постановлении Пленума Верховного Суда Российской Федерации от 27 декабря 2002 года № 29 «О судебной практике по делам о краже, грабеже и разбое». А.А.Перфильев просит признать противоречащими статьям 2, 18, 47 (часть 1) и 126 Конституции Российской Федерации части первую – третью статьи 32 «Территориальная подсудность уголовного дела» УПК Российской Федерации, утверждая, что данные нормы нарушают его права, поскольку позволяют суду по собственному усмотрению изменять территориальную подсудность уголовного дела о кражах с опорой на место совершения большинства расследованных по этому делу преступлений, определенное вопреки разъяснениям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32 УПК Российской Федерации уголовное дело подлежит рассмотрению в суде по месту совершения преступления, за исключением случаев, предусмотренных частями четвертой, пятой и пятой1 той же статьи, а также статьей 35 данного Кодекса (часть первая);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 (часть вторая); если преступления совершены в разных местах, то уголовное дело рассматривается судом, 3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 (часть третья). Конституционный Суд Российской Федерации неоднократно отмечал, что закрепленные статьей 32 УПК Российской Федерации правила не предполагают дискрецию правоприменителя при установлении подсудности и неопределенности не содержат (определения от 15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Перфильева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