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Сафина Роберта Рауфовича на нарушение его конституционных прав пунктом 1 части первой статьи 81 и частью второй статьи 180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Р.Р.Сафина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Р.Р.Сафин оспаривает конституционность следующих норм Трудового кодекса Российской Федерации: пункта 1 части первой статьи 81, закрепляющего такое основание расторжения трудового договора по инициативе работодателя, как ликвидация организации либо прекращение деятельности индивидуальным предпринимателем; части второй статьи 180, согласно которой о предстоящем увольнении в связи с ликвидацией организации, сокращением численности или штата 2 работников организации работники предупреждаются работодателем персонально и под роспись не менее чем за два месяца до увольнения. По мнению заявителя, оспариваемые положения не соответствуют статьям 17 (части 1 и 3), 18, 19, 37 (части 1 и 3–5), 46 (часть 1) и 55 (части 2 и 3) Конституции Российской Федерации в той мере, в какой они во взаимосвязи с частью 1 статьи 5 и статьей 106 Федерального закона от 2 октября 2007 года № 229-ФЗ «Об исполнительном производстве» позволяют судам произвольно оценивать законность увольнения работника в связи с ликвидацией обособленного структурного подразделения работодателя и не принимать во внимание при рассмотрении спора обстоятельства, связанные с исполнением работодателем предыдущего судебного акта о восстановлении работника на работе. Оспариваемые нормы применены в деле заявителя судами общей юрисдикции.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Расторжение трудового договора с работником в случае ликвидации организации либо прекращения деятельности индивидуальным предпринимателем (пункт 1 части первой статьи 81 Трудового кодекса Российской Федерации) связано с невозможностью продолжения им экономической деятельности и носит объективный характер. При этом увольнение работников по данному основанию, которое применяется также для увольнения 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сопровождается предоставлением предусмотренных действующим законодательством гарантий. Устанавливая для этого случая специальную процедуру расторжения трудового договора, Трудовой кодекс Российской Федерации, в частности, обязывает работодателя выплатить работнику выходное пособие, сохранить 3 средний заработок на период трудоустройства, а также персонально уведомить каждого работника под роспись о предстоящем увольнении не менее чем за два месяца (часть вторая статьи 180), что позволяет работнику, подлежащему увольнению, заблаговременно начать поиск подходящей работы. Такое правовое регулирование направлено на обеспечение баланса интересов работника и работодателя (определения Конституционного Суда Российской Федерации от 23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Сафина Роберта Рауфовича,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