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Лаврентьева Дмитрия Геннадьевича на нарушение его конституционных прав пунктом 1 статьи 7 и пунктом 3 статьи 38 Семейного кодекса Российской Федерации, а также статьей 21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Д.Г.Лаврентьева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Д.Г.Лаврентьев оспаривает конституционность пункта 1 статьи 7 «Осуществление семейных прав и исполнение семейных обязанностей» и пункта 3 статьи 38 «Раздел общего имущества супругов» Семейного кодекса Российской Федерации, а также статьи 21 «Переход доли или части доли участника общества в уставном капитале общества к другим участникам общества и третьим лицам» Федерального закона от 8 февраля 1998 года № 14-ФЗ «Об обществах с ограниченной ответственностью». 2 Из представленных материалов следует, что решением суда общей юрисдикции (принято после направления дела на новое рассмотрение судом кассационной инстанции), оставленным без изменения определением суда апелляционной инстанции, при разделе общего имущества супругов, брак которых расторгнут, среди прочего, за Д.Г.Лаврентьевым – единственным участником обществ с ограниченной ответственностью признаны доли в уставном капитале этих обществ с возложением на него обязанности выплатить бывшей супруге компенсацию в размере половины стоимости долей. Суды первой и апелляционной инстанций отметили, что исходят при этом из заявленных бывшей супругой требований и обстоятельств дела.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19 (часть 1) и 45 (часть 1) Конституции Российской Федерации, поскольку по смыслу, придаваемому им правоприменительной практикой, они позволяют при разделе общего имущества супругов в судебном порядке передавать одному из них вопреки его воле долю в уставном капитале общества с ограниченной ответственностью, возлагая на него обязанность выплатить другому супругу обременительную компенсацию.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Лаврентьева Дмитрия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