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1607-О/2024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Гибовой Екатерины Сергеевны на нарушение ее конституционных прав пунктом 1 статьи 200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Е.С.Гибовой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Между гражданкой Е.С.Гибовой и гражданином Р. был заключен в простой письменной форме договор купли-продажи доли в праве собственности на недвижимое имущество. В рамках исполнения договора заявительница передала Р. ключи для вселения, а последний внес денежные средства. Впоследствии Р. решением суда общей юрисдикции, с которым согласился суд апелляционной инстанции, по иску Е.С.Гибовой был выселен из спорного помещения. Суды указали на право Р. взыскать уплаченные денежные средства в качестве неосновательного обогащения. Решением суда общей юрисдикции, с которым согласились суды вышестоящих инстанций, требования Р. о взыскании с заявительницы 2 неосновательного обогащения в размере уплаченной им суммы удовлетворены. При этом суды отклонили ссылки Е.С.Гибовой на истечение срока исковой давности по указанному требованию. Е.С.Гибова оспаривает конституционность пункта 1 статьи 200 «Начало течения срока исковой давности» ГК Российской Федерации, согласно которому,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По ее мнению, данная норма не соответствует статьям 2, 15, 17 (часть 3), 19 (части 1 и 2), 35 (часть 1), 45 и 46 (часть 1) Конституции Российской Федерации в той мере, в какой в системе действующего правового регулирования, по смыслу, придаваемому ей правоприменительной практикой, на ее основании решается вопрос о начале течения срока исковой давности по требованию, связанному с применением последствий недействительности ничтожной сделки.</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Конституционный Суд Российской Федерации неоднократно указывал, что регулирование сроков для обращения в суд, включая их изменение и отмену, относится к компетенции законодателя; установление этих сроков обусловлено необходимостью обеспечить стабильность правоотношений и не может рассматриваться как нарушение права на судебную защиту (Постановление от 15 февраля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Гибовой Екатерины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