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Трошкина Евгения Валерьевича на нарушение его конституционных прав частью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Е.В.Трошкина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Е.В.Трошкин оспаривает конституционность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Е.В.Трошкину отказано в удовлетворении заявления о пересмотре вступившего в законную силу решения того же суда по новым обстоятельствам. При этом в качестве такого 2 обстоятельства заявитель указывал на вынесенное по его жалобе Определение Конституционного Суда Российской Федерации от 24 февраля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статье 392 ГПК Российской Федерации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По смыслу данного законоположения,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постановления. Для исправления же судебных ошибок, допущенных судом при вынесении решения, законодательство предусматривает другие формы проверки этих решений вышестоящими судами общей юрисдикции. 3 Соответственно, часть третья статьи 392 ГПК Российской Федерации не может расцениваться в качестве нарушающей конституционные права Е.В.Трошкина, перечисленные в жалобе, в чьем конкретном деле суды отметили, в частности, что Определение Конституционного Суда Российской Федерации от 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Трошкина Евгения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