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2312-О/2023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Макаровой Венеры Федоровны на нарушение ее конституционных прав статьей 166 и пунктом 1 статьи 302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В.Ф.Макаровой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В.Ф.Макарова, которой отказано в удовлетворении исковых требований, в том числе о признании недействительными сделок и истребовании имущества (автомобиля) из чужого незаконного владения, оспаривает конституционность статьи 166 ГК Российской Федерации об оспоримых и ничтожных сделках, а также пункта 1 статьи 302 данного Кодекса, согласно которому если имущество возмездно приобретено у лица, которое не имело права его отчуждать, о чем приобретатель не знал и не мог знать (добросовестный приобретатель), то собственник вправе истребовать это имущество от приобретателя в случае, когда имущество утеряно собственником или лицом, которому имущество было передано 2 собственником во владение, либо похищено у того или другого, либо выбыло из их владения иным путем помимо их воли. По мнению заявительницы, названные нормы не соответствуют статьям 8 (часть 2) и 35 (части 2 и 3) Конституции Российской Федерации в той мере, в какой они по смыслу, придаваемому им правоприменительной практикой, допускают, что недействительность сделки, во исполнение которой передано имущество, не свидетельствует сама по себе о его выбытии из владения передавшего это имущество лица помимо его воли.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Макаровой Венеры Федоровны,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