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2678-О/2024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 на нарушение его конституционных прав статьей 3271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 оспаривает конституционность статьи 3271 «Особенности кассационного производства, связанные с пересмотром вступивших в законную силу судебного приказа, судебного акта по административному делу, рассмотренному в порядке упрощенного (письменного) производства, определения, которым не оканчивается производство по административному делу» КАС Российской Федерации. Как следует из представленных материалов, решением суда первой инстанции частично удовлетворен административный иск П. Впоследствии определением этого же суда удовлетворено ходатайство административного ответчика о восстановлении срока на подачу апелляционной жалобы на указанное решение. Жалобы П. на данное определение оставлены без удовлетворения судами вышестоящих инстанций. Определением судьи 2 Верховного Суда Российской Федерации отказано в передаче кассационной жалобы П. для рассмотрения в судебном заседании суда кассационной инстанции. При этом судья Верховного Суда Российской Федерации отметил, что с учетом фактических обстоятельств конкретного спора нижестоящие суды пришли к обоснованному выводу об уважительности пропуска административным ответчиком процессуального срока и наличии оснований для его восстановления. По мнению заявителя, оспариваемое законоположение противоречит статьям 2, 17 (часть 1), 18, 19 (часть 1), 45 (часть 2), 46 (части 1 и 2) и 47 (часть 1) Конституции Российской Федерации, поскольку позволяет судьям Верховного Суда Российской Федерации не рассматривать по существу поданные в судебную коллегию кассационные жалобы, ограничиваясь вопросом их приемлемости, а также выносить соответствующий судебный акт, который не подлежит обжалованию в порядке надзора, с существенным нарушением установленного данным законоположением срока.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 поскольку она не отвечает требованиям Федерального конституционного закона «О Конституционном Суде Российской Федерации», в соответствии с 4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