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599-О/2024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Наумова Николая Владимировича на нарушение его конституционных прав статьей 361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Н.В.Наумова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Н.В.Наумов оспаривает конституционность статьи 361 «Налоговые ставки» главы 28 «Транспортный налог» Налогового кодекса Российской Федерации. Как следует из представленных материалов, вступившим в законную силу решением районного суда удовлетворено административное исковое заявление налогового органа о взыскании с Н.В.Наумова недоимки и пени по транспортному налогу с учетом ставки, установленной региональным законодательством для автобусов. При этом были отклонены доводы заявителя о том, что налоговым органом неверно определена категория принадлежащего ему транспортного средства, которое, как полагал заявитель, согласно паспорту транспортного средства является легковым. 2 По мнению Н.В.Наумова, оспариваемая норма не соответствует статье 57 Конституции Российской Федерации, поскольку в силу своей неопределенности позволяет налоговым органам при выборе подлежащей применению ставки налога руководствоваться терминами и понятиями, не предусмотренными Налоговым кодексом Российской Федерации, и исчислять транспортный налог по повышенной налоговой ставке.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ранее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Наумова Николая Владимировича,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