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«Альфаресурс» на нарушение его конституционных прав статьей 19 и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«Альфаресурс»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«П.» и оставленным без изменения постановлениями судов апелляционной и кассационной инстанций, был признан недействительным договор субаренды газовой котельной, заключенный между должником, обществом с ограниченной ответственностью «Альфаресурс» (далее также – ООО «Альфаресурс)» и хозяйственным обществом «И.», применены последствия недействительности сделки. При этом суды исходили, в частности, из доказанности совокупности условий, необходимых для признания оспариваемой сделки недействительной как совершенной с целью причинения вреда имущественным правам кредиторов должника. 2 ООО «Альфаресурс» оспаривает конституционность пункта 2 статьи 612 «Оспаривание подозрительных сделок должника» во взаимосвязи со статьей 19 «Заинтересованные лица»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2, 19, 34 (часть 1), 35 (часть 2) и 55 (часть 3) Конституции Российской Федерации в той мере, в какой они по смыслу, придаваемому им сложившейся правоприменительной практикой, допускают произвольное признание сделки должника недействительной по мотиву заинтересованности в ее совершении, если по обстоятельствам дела имелось встречное исполнение обязательства перед должником и существовали объективно необходимые экономические связи между должником и кредитором, совершившими оспариваемую сделку.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Достижению публично-правовой цели института банкротства, состоящей в обеспечении баланса прав и законных интересов лиц, участвующих в деле о банкротстве, должно способствовать осуществленное законодателем в рамках своей дискреции правовое регулирование, направленное на сохранение конкурсной массы, необходимой для справедливого удовлетворения требований кредиторов, в частности предусмотренный главой III1 Федерального закона «О несостоятельности (банкротстве)» институт оспаривания сделок должника. Пункт 2 статьи 612 Федерального закона «О несостоятельности (банкротстве)» предусматривает, в частности, что сделка, совершенная должником в целях причинения вреда имущественным правам кредиторов, может быть признана арбитражным судом недействительной,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3 кредиторов и если другая сторона сделки знала об указанной цели должника к моменту совершения сделки (подозрительная сделка); предполагается, что другая сторона знала об этом,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должника; цель причинения вреда имущественным правам кредиторов предполагается, если на момент совершения сделки должник отвечал или в результате совершения сделки должник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лица. Данное законоположение, направленное на противодействие последствиям совершения сделок в целях причинения вреда имущественным правам кредиторов и защиту имущественных интересов кредиторов, не предполагает его произвольного применения и, рассматриваемое в том числе во взаимосвязи со статьей 19 того же Федерального закона, обеспечивающей определенность в вопросе о круге заинтересованных лиц по отношению к должнику, не может расцениваться как нарушающее конституционные права заявителя, указанные в жалобе. Установление же и оценка фактических обстоятельств конкретного дела, а равно и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«Альфаресурс»,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