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Маценовой Евы Борисовны на нарушение ее конституционных прав пунктом 1 статьи 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Е.Б.Маценовой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Е.Б.Маценова оспаривает конституционность пункта 1 статьи 8 «Основания возникновения гражданских прав и обязанностей» ГК Российской Федерации. Как следует из представленных материалов, решением суда общей юрисдикции от 4 сентября 2023 года, оставленным без изменения апелляционным определением от 22 апреля 2024 года и определением кассационного суда общей юрисдикции от 16 июля 2024 года, Е.Б.Маценовой отказано в признании задолженности перед товариществом собственников жилья отсутствующей, а по встречному иску товарищества с нее взыскана задолженность по оплате услуг по содержанию и ремонту 2 общего имущества, коммунальных услуг, расходов на капитальный ремонт. Письмом сотрудника аппарата Верховного Суда Российской Федерации от 22 января 2025 года Е.Б.Маценовой повторно возвращена без рассмотрения по существу поданная ею кассационная жалоба, поскольку к ней не были приложены заверенные в установленном порядке копии обжалуемых судебных постановлений. По мнению заявительницы, оспариваемая норма противоречит Конституции Российской Федерации, ее статьям 2, 17, 18, 19 (часть 1), 23 (часть 1), 35 (часть 1), 55, 751 и 120, в той мере, в какой допускает возникновение гражданского права у субъекта, не исполнившего предусмотренную федеральным законом обязанность в публично регулируемой сфере.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когда вступившие в силу судебные акты по данной категории дел подлежат обжалованию только в надзорном порядке, надзорной жалобы, если судебный акт, в котором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Помимо этого, условием допустимости жалобы на нарушение нормативным актом конституционных прав и свобод согласно пункту 2 3 статьи 97 Федерального конституционного закона «О Конституционном Суде Российской Федерации» является ее подача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представленные с жалобой Е.Б.Маценовой материалы не подтверждают исчерпания ею внутригосударственных средств судебной защиты. Письмо сотрудника аппарата Верховного Суда Российской Федерации от 22 января 2025 года не свидетельствует о таком исчерпании, поскольку этим письмом кассационная жалоба заявительницы возвращена без рассмотрения по существу в связи с несоблюдением процессуальных требований. С момента же вынесения последнего судебного постановления по делу с участием заявительницы (определение кассационного суда общей юрисдикции от 16 июля 2024 года) до дня подачи ею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Маценовой Евы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