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2092-О/2023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 на нарушение его конституционных прав пунктом 2 статьи 52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 оспаривает конституционность пункта 2 статьи 52 Семейного кодекса Российской Федерации, предусматривающего, что требование лица, записанного отцом ребенка на основании пункта 2 статьи 51 данного Кодекса, об оспаривании отцовства не может быть удовлетворено, если в момент записи этому лицу было известно, что оно фактически не является отцом ребенка. Как следует из представленных материалов, решением суда общей юрисдикции, оставленным без изменения определением суда апелляционной инстанции, среди прочего, отказано в удовлетворении требования П. об оспаривании отцовства в отношении ребенка, на которого в этом же деле с заявителя взысканы алименты. Суд первой инстанции отметил, что П. не 2 доказал своего заблуждения относительно отцовства. Представленными же матерью ребенка доказательствами, по мнению суда, подтверждалась осведомленность П. о том, что отцом ребенка является иное лицо.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Заявитель указывает, что оспариваемое положение противоречит статьям 17 (часть 3), 18, 19, 38, 45, 46 и 55 Конституции Российской Федерации, поскольку по смыслу, придаваемому ему правоприменительной практикой, оно препятствует оспариванию отцовства и приводит к уплате гражданином алиментов на ребенка, семейная связь с которым отсутствует, в то время как биологический отец ребенка известен. В жалобе указано, что законом, по существу, закреплена презумпция отсутствия у гражданина сомнений в родстве с ребенком, если запись об отце ребенка произведена на основании заявления такого гражданина. П. утверждает, что суды не учли его довода, в соответствии с которым для применения оспариваемой нормы гражданину, записанному в качестве отца ребенка, должно быть достоверно известно, что он не является отцом. Заявитель отмечает, что упомянутое обстоятельство не должно устанавливаться субъективно (в частности, на основе свидетельских показаний и с учетом интересов лиц, участвующих в деле) и что такая осведомленность не должна ставиться под сомнение самим лицом, записанным в качестве отца ребенка.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52 Семейного кодекса Российской Федерации имеет целью реализацию принципа обеспечения приоритетной защиты прав и интересов несовершеннолетних (пункт 3 статьи 1 данного Кодекса) 3 (определения Конституционного Суда Российской Федерации от 29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