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Т. на нарушение конституционных прав его несовершеннолетнего сына пунктом 1 части 2 статьи 17 и пунктами 1, 2, 5 и 6 части 1 статьи 19 Закона Республики Карелия «Об организации деятельности комиссий по делам несовершеннолетних и защите их прав»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Т.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Т., действующий в интересах своего несовершеннолетнего сына, оспаривает конституционность следующих положений Закона Республики Карелия от 16 июля 2009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Т.,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