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3513-О/2023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Кабанова Сергея Геннадьевича на нарушение его конституционных прав подпунктом 4 статьи 1109 Гражданского кодекса Российской Федерации, а также статьями 38 и 39 Семейного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С.Г.Кабанова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С.Г.Кабанов оспаривает конституционность подпункта 4 статьи 1109 «Неосновательное обогащение, не подлежащее возврату» ГК Российской Федерации, а также статей 38 «Раздел общего имущества супругов» и 39 «Определение долей при разделе общего имущества супругов» Семейного кодекса Российской Федерации. Из представленных материалов следует, что определением суда апелляционной инстанции частично отменено решение суда общей юрисдикции (с учетом определения об исправлении описки) и при разделе общего имущества супругов, брак которых расторгнут, среди прочего, за 2 С.Г.Кабановым и гражданкой К. признаны равные доли в праве собственности на жилое помещение, а также отказано в удовлетворении требования заявителя, досрочно исполнившего обязательство по кредитному договору, о взыскании с К. неосновательного обогащения. Суд апелляционной инстанции указал, что спорное жилое помещение было приобретено за счет нажитого супругами имущества и денежных средств, полученных по иному кредитному договору, и что доказательства использования при его приобретении личного имущества С.Г.Кабанова не представлены. При этом суд отклонил доводы заявителя, ссылавшегося на увеличение его доли в общем имуществе после частичного исполнения обязательства по кредитному договору за счет его личного имущества. В передаче кассационной жалобы на названное апелляционное определение и определение суда кассационной инстанции, которым оно оставлено без изменения, для рассмотрения в судебном заседании Судебной коллегии по гражданским делам Верховного Суда Российской Федерации было отказано. По мнению заявителя, оспариваемые положения противоречат статьям 17–19, 35, 45 и 55 Конституции Российской Федерации, поскольку по смыслу, придаваемому им правоприменительной практикой, в случае частичного исполнения супругом общего обязательства за счет личного имущества они не позволяют увеличить его долю в общем имуществе при его разделе.</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1109 ГК Российской Федерации – и, в частности, ее подпункт 4 – основана на презумпции добросовестности и разумности действий участников гражданского оборота (пункт 5 статьи 10 ГК Российской Федерации), обеспечивает справедливый баланс их интересов и служит реализации предписаний статей 17 (часть 3), 35, 46 и 55 (часть 3) Конституции Российской Федерации (определения Конституционного Суда 3 Российской Федерации от 25 апреля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Кабанова Сергея Геннадьевича,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