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«Юбилейный» на нарушение его конституционных прав пунктом 2 части 3 статьи 1431 Жилищного кодекса Российской Федерации и частью 1 статьи 62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товарищества собственников жилья «Юбилейный»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апелляционной инстанции, оставленным без изменения определением кассационного суда общей юрисдикции, отменено решение суда первой инстанции, товарищество собственников жилья «Юбилейный» (далее также – ТСЖ «Юбилейный») в числе прочего обязано предоставить для ознакомления ряду граждан реестр членов данного товарищества. ТСЖ «Юбилейный» оспаривает конституционность следующих законоположений: 2 пункта 2 части 3 статьи 1431 Жилищного кодекса Российской Федерации о том, что члены товарищества собственников жилья и не являющиеся членами товарищества собственники помещений в многоквартирном доме имеют право ознакомиться в том числе с реестром членов товарищества; части 1 статьи 62 Федерального закона от 13 июля 2015 года № 218-ФЗ «О государственной регистрации недвижимости», предусматривающей, что сведения, содержащиеся в Едином государственном реестре недвижимости, за исключением сведений, доступ к которым ограничен федеральным законом, предоставляются публично-правовой компанией, указанной в части 1 статьи 31 этого Федерального закона, по запросам любых лиц, в том числе посредством использования информационно-телекоммуникационных сетей общего пользования, в том числе сети Интернет, включая единый портал,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иных технических средств связи, а также посредством обеспечения доступа к федеральной государственной информационной системе ведения Единого государственного реестра недвижимости или иным способом, установленным органом нормативно-правового регулирования. По мнению заявителя, оспариваемые законоположения противоречат статье 24 (часть 1)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право кругу лиц, указанному в этих нормах, на ознакомление с персональными данными собственников объектов недвижимости без их согласия.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3 исчерпаны все другие внутригосударственные средства судебной защиты прав заявителя при разрешении конкретного дела.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надзорной жалобы не привела к устранению признаков нарушения прав заявителя. Между тем представленные судебные акты не подтверждают факта исчерпания ТСЖ «Юбилейный» внутригосударственных средств судебной защиты его прав при разрешении дела с его участием. Кроме того, представленными материалами не подтверждается применение части 1 статьи 62 Федерального закона «О государственной регистрации недвижимости» в деле с участием заявителя, а потому в данной части жалоба также не может рассматриваться как отвечающая критериям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«Юбилейный»,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