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Стефановича Владимира Архиповича на нарушение его конституционных прав положениями статей 4012–4015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В.А.Стефановича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В.А.Стефанович просит признать не соответствующими Конституции Российской Федерации положения статей 4012 «Право на обращение в суд кассационной инстанции», 4013 «Порядок и сроки подачи кассационных жалобы, представления, порядок восстановления срока кассационного обжалования», 4014 «Содержание кассационной жалобы, представления» и 4015 «Возвращение кассационных жалобы, представления без рассмотрения» УПК Российской Федерации в той мере, в какой они позволяют возвращать кассационные жалобы без рассмотрения.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Нормы главы 471 УПК Российской Федерации, регламентирующие производство в суде кассационной инстанции, являются частью процессуального механизма пересмотра вступивших в законную силу судебных решений в целях обеспечения их законности и тем самым направлены не на ограничение, а, напротив, на защиту и обеспечение прав участников уголовного судопроизводства, на исправление судебных ошибок (определения Конституционного Суда Российской Федерации от 29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Стефановича Владимира Архиповича,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