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783343-П/2024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Кутузовой Елены Валерьевны на нарушение ее конституционных прав частью 3 статьи 28.2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Е.В.Кутузовой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Е.В.Кутузова оспаривает конституционность части 3 статьи 28.2 «Протокол об административном правонарушении» КоАП Российской Федерации. Как следует из представленных материалов, постановлением уполномоченного должностного лица Е.В.Кутузова была привлечена к административной ответственности за совершение административного правонарушения, предусмотренного частью 4 статьи 20.8 «Нарушение правил производства, приобретения, продажи, передачи, хранения, ношения, коллекционирования, экспонирования, уничтожения или учета оружия и 2 патронов к нему, а также нарушение правил производства, продажи, хранения, уничтожения или учета взрывчатых веществ и взрывных устройств, пиротехнических изделий,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оружием» КоАП Российской Федерации. Решением судьи районного суда, оставленным без изменения вышестоящими судами, было уточнено место совершения административного правонарушения, а в остальной части постановление было оставлено без изменения. При разрешении данного дела суды, среди прочего, установили, что при составлении протокола об административном правонарушении заявительнице были разъяснены права лица, привлекаемого к административной ответственности. Не соглашаясь с этим выводом, заявительница просит признать оспариваемое законоположение не соответствующим статьям 2, 17, 19, 45, 46 и 53 Конституции Российской Федерации, поскольку оно, по ее мнению, позволяет судам признавать, что лицу, привлекаемому к административной ответственности, были разъяснены его права в случаях, когда такое разъяснение фактически не производилось.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3 статьи 28.2 КоАП Российской Федерации при составлении протокола об административном правонарушении физическому лицу или законному представителю юридического лица, в отношении которых возбуждено дело об административном правонарушении, а также иным участникам производства по делу разъясняются их права и обязанности, предусмотренные данным Кодексом, о чем делается запись в протоколе. Как неоднократно отмечал Конституционный Суд Российской Федерации, данное законоположение, устанавливающее правило о разъяснении участникам производства по делу об административном 3 правонарушении их прав и обязанностей, предусмотренных данным Кодексом, и внесении записи об этом в протокол, по своему содержанию направлено на создание надлежащего процессуального механизма защиты прав лица, в отношении которого ведется производство по делу об административном правонарушении (определения от 23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Кутузовой Елены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