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Бунина Владимира Викторовича на нарушение его конституционных прав пунктом 7 статьи 75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В.В.Бунина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В.В.Бунин оспаривает конституционность пункта 7 статьи 75 Налогового кодекса Российской Федерации, определяющего случаи, когда пени не начисляются на сумму недоимки по налогу. Из представленных материалов следует, что вступившими в законную силу актами судов общей юрисдикции удовлетворено административное исковое заявление налогового органа о взыскании с В.В.Бунина недоимки по налогу на доходы физических лиц и налогу на добавленную стоимость, а также соответствующих сумм пеней. Как установили суды, в отношении заявителя, зарегистрированного в спорные налоговые периоды в качестве индивидуального предпринимателя, была проведена выездная налоговая проверка, по результатам которой принято решение о привлечении его к 2 налоговой ответственности; в дальнейшем налоговым органом предпринимались с соблюдением установленных налоговым законодательством сроков меры принудительного взыскания недоимки с заявителя, в том числе посредством обращения взыскания на его имущество. По мнению В.В.Бунина, оспариваемое законоположение не соответствует статье 57 Конституции Российской Федерации, поскольку допускает начисление пени на сумму недоимки, возможность взыскания которой была утрачена налоговым органом.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Бунина Владимира Викторовича,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