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Мельниковой Луизы Семеновны и Мухиной Людмилы Викторовны на нарушение их конституционных прав статьями 304 и 305 Гражданского кодекса Российской Федерации, положениями статьи 6 Водного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Л.С.Мельниковой и Л.В.Мухиной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Л.С.Мельникова и Л.В.Мухина оспаривают конституционность статей 304 «Защита прав собственника от нарушений, не связанных с лишением владения» и 305 «Защита прав владельца, не являющегося собственником» ГК Российской Федерации, частей 2, 6 и 8 статьи 6 «Водные объекты общего пользования» Водного кодекса Российской Федерации. Как следует из представленных материалов, суд апелляционной инстанции определением, с которым согласились суды кассационной 2 инстанции, удовлетворил исковые требования администрации городского округа, предъявленные к заявительницам – собственникам земельного участка и касающиеся признания бани самовольной постройкой и возложения на ответчиков обязанностей демонтировать ее совместно с другими постройками, расположенными на этом участке в границах береговой полосы и непосредственно в акватории водного объекта – озера, входящего в состав государственного ландшафтного природного заказника областного значения, а также очистить указанную полосу от строительных материалов. По мнению заявительниц, оспариваемые законоположения не соответствуют статьям 1 (часть 1), 8, 15, 19, 35, 36, 45 (часть 1), 46 (часть 1), 47 (часть 1) и 54 Конституции Российской Федерации в той мере, в какой они в системе действующего правового регулирования и по смыслу, придаваемому им правоприменительной практикой, позволяют судам рассматривать исковые требования, предъявленные без надлежащих правовых оснований, и применять гражданско-правовые санкции к лицам, не допустившим виновных противоправных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Мельниковой Луизы Семеновны и Мухиной Людмилы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