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Максименко Елены Юрьевны на нарушение ее конституционных прав частью первой статьи 3782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Е.Ю.Максименко оспаривает конституционность части первой статьи 3782 «Оставление кассационных жалобы, представления без движения» ГПК Российской Федерации.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кассационная жалоба Е.Ю.Максименко была оставлена без движения и впоследствии возвращена без рассмотрения по существу в связи с тем, что к ней не приложены документы, подтверждающие направление или вручение другому лицу, участвующему в деле, копии этой кассационной жалобы. Определением судьи Верховного Суда 2 Российской Федерации заявительнице отказано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Е.Ю.Максименко, оспариваемая норма не соответствует статье 46 (часть 1) Конституции Российской Федерации, поскольку позволяет судье кассационного суда общей юрисдикции признавать представителя ответчика в качестве третьего лица, не заявляющего самостоятельных требований, и по формальным признакам, на том лишь основании, что этому лицу не направлена копия кассационной жалобы, оставлять поданную в установленном порядке кассационную жалобу без движения.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Максименко Елены Юрьевны,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