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Бурягина Максима Евгеньевича на нарушение его конституционных прав частью четвертой статьи 3905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М.Е.Бурягина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М.Е.Бурягин оспаривает конституционность части четвертой статьи 3905 «Форма и содержание кассационных жалобы, представления» ГПК Российской Федерации. Как следует из представленных материалов, обращение в форме электронного документа, содержащее кассационную жалобу заявителя, отклонено Верховным Судом Российской Федерации в связи с тем, что к ней не приложена копия обжалуемого судебного постановления, подписанная усиленной квалифицированной электронной подписью. 2 В связи с этим М.Е.Бурягин полагает, что оспариваемая норма противоречит Конституции Российской Федерации, ее статьям 46 и 47, поскольку лишает заявителя возможности обратиться в суд за судебной защитой и реализовать свои процессуальные права, 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определениях по жалобам граждан на нарушение права на судебную защиту нормами, регулирующими порядок обращения в суд с исковыми заявлениями и жалобами,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Бурягина Максима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