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2771-О/2024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Бирюковой Оксаны Анатольевны на нарушение ее конституционных прав рядом положений Гражданского кодекса Российской Федерации и пунктом 6 статьи 56 Земельного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О.А.Бирюковой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О.А.Бирюкова оспаривает конституционность следующих законоположений: пункта 1 статьи 222 «Самовольная постройка», пункта 1 статьи 263 «Застройка земельного участка», статей 304 «Защита прав собственника от нарушений, не связанных с лишением владения» и 305 «Защита прав владельца, не являющегося собственником» ГК Российской Федерации; пункта 6 статьи 56 «Ограничение прав на землю» Земельного кодекса Российской Федерации. 2 Как следует из представленных материалов, решением суда общей юрисдикции, с которым согласились суды вышестоящих инстанций, удовлетворены исковые требования собственника земельного участка о возложении на сособственников смежного участка, включая О.А.Бирюкову, обязанности снести объект незавершенного строительства, расположенный в охранной зоне подземного газопровода-ввода, подключенного к жилому дому истца. В удовлетворении встречного иска о признании указанного подключения самовольным отказано. Суды отметили, помимо прочего, что работы по строительству данного газопровода были согласованы с правопредшественником ответчиков, последние были осведомлены как о наличии и месте расположения этого объекта, так и о нарушениях градостроительных норм и правил, допускаемых ими при возведении строения. По мнению О.А.Бирюковой, оспариваемые законоположения не соответствуют статьям 1 (часть 1), 4 (часть 2), 15 (части 1 и 2), 17, 19 (части 1 и 2), 35 (части 1 и 3), 36 (часть 3), 45 (часть 1), 46 (часть 1), 55 (часть 3), 751, 120 (часть 1) и 123 (часть 3) Конституции Российской Федерации в той мере, в какой они позволяют судам принимать решения о сносе самовольной постройки, возведенной в условиях отсутствия в Едином государственном реестре недвижимости сведений о наличии охранной зоны газопровода, не учитывая при этом наличие обязанности заинтересованных лиц обеспечить государственную регистрацию подобного рода ограничений прав на землю.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Конституционный Суд Российской Федерации неоднократно указывал в своих решениях, что закрепленные в статье 35 Конституции Российской Федерации гарантии права собственности предоставляются лишь в отношении права, возникшего на законных основаниях; самовольное же строительство представляет собой правонарушение, а 3 обязанность по сносу самовольной постройки – санкцию за такое правонарушение, как это предусмотрено статьей 222 ГК Российской Федерации (Постановление от 11 марта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Бирюковой Оксаны Анатольевны,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