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Пуляевой Нины Петровны на нарушение ее конституционных прав статьей 1901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Н.П.Пуляевой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Н.П.Пуляева оспаривает конституционность применения в деле с ее участием статьи 1901 Жилищного кодекса Российской Федерации, закрепляющей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 Как следует из представленных материалов, решением суда общей юрисдикции, оставленным без изменения определением суда апелляционной инстанции, Н.П.Пуляевой отказано во взыскании с муниципального образования денежных средств, необходимых для проведения капитального ремонта жилого дома. В передаче кассационной жалобы Н.П.Пуляевой на 2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статья 1901 Жилищного кодекса Российской Федерации противоречит статье 19 Конституции Российской Федерации, поскольку она ставит в неравное положение граждан в зависимости от того, включен ли дом, в котором они приватизировали жилое помещение, в перспективный и (или) годовой план капитального ремонта жилищного фонда.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Определяя в Законе Российской Федерации от 4 июля 1991 года № 1541-I «О приватизации жилищного фонда Российской Федерации» основные принципы осуществления приватизации государственного и муниципального жилищного фонда социального использования на территории Российской Федерации, федеральный законодатель, руководствуясь принципами социального государства и поддержания доверия граждан к действиям публичной власти, в целях обеспечения дополнительных гарантий права на приватизацию для граждан, занимающих жилые помещения в домах, требующих капитального ремонта, предусмотрел сохранение за бывшим наймодателем обязанности производить капитальный ремонт дома в соответствии с нормами содержания, эксплуатации и ремонта жилищного фонда (статья 16) (Определение Конституционного Суда Российской Федерации от 1 марта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Пуляевой Нины Петровны,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