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«ГАРАНТ и К» на нарушение его конституционных прав абзацем третьим пункта 14 статьи 101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«ГАРАНТ и 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«ГАРАНТ и К» (далее также – Общество) оспаривает конституционность абзаца третьего пункта 14 статьи 101 «Вынесение решения по результатам рассмотрения материалов налоговой проверки» Налогового кодекса Российской Федерации. Как следует из представленных материалов, вступившими в законную силу актами арбитражных судов отказано в удовлетворении требования Общества о признании незаконным решения налогового органа, которым оно было привлечено к налоговой ответственности с доначислением недоимки по налогу на добавленную стоимость и налогу на прибыль организаций. Как установили суды, налоговый орган выявил участие налогоплательщика в 2 схеме ухода от налогообложения, в том числе посредством создания формального документооборота с фиктивными и взаимозависимыми контрагентами. При этом судами были отклонены доводы заявителя о том, что, принимая указанное решение, налоговый орган допустил существенные нарушения процедуры рассмотрения материалов налоговой проверки. По мнению Общества, оспариваемое законоположение не соответствует статье 45 (часть 2) Конституции Российской Федерации, поскольку позволяет судам отказывать в отмене решения налогового органа, принятого, как полагает заявитель, с существенными нарушениями процедуры.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«ГАРАНТ и К»,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