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«Сварщик Групп» на нарушение его конституционных прав статьей 6, частями 1 и 2 статьи 13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«Сварщик Групп»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«Сварщик Групп» (далее также – ООО «Сварщик Групп») оспаривает конституционность статьи 6 «Законность при рассмотрении дел арбитражным судом», частей 1 и 2 статьи 13 «Нормативные правовые акты, применяемые при рассмотрении дел» АПК Российской Федерации. Как следует из представленных материалов, решением арбитражного суда, оставленным без изменения арбитражными судами 2 вышестоящих инстанций, удовлетворены исковые требования юридического лица к ООО «Сварщик Групп» о взыскании неосновательного обогащения и процентов за пользование чужими денежными средствами.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«Сварщик Групп»,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115 (часть 2) и 120 (часть 2) Конституции Российской Федерации, поскольку позволяют арбитражному суду основывать свое решение на нормах, не предусмотренных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6 и 13 АПК Российской Федерации требуют от арбитражных судов соблюдения законности и с этой целью предписывают им при рассмотрении дел руководствоваться Конституцией Российской Федерации, международными договорами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Федерации, нормативными правовыми актами федеральных органов исполнительной власти, конституциями (уставами), законами и иными нормативными правовыми актами субъектов Российской Федерации, актами органов местного самоуправления. Гарантиями реализации права на судебную защиту для лиц, участвующих в деле, выступают обязанность арбитражного суда указать 3 законы и иные нормативные правовые акты из приведенного перечня, которыми он руководствовался при принятии решения, и мотивы, по которым он не применил законы и иные нормативные правовые акты, на которые ссылались лица, участвующие в деле (пункт 3 части 4 статьи 170 АПК Российской Федерации), а также установленные упомянутым Кодексом процедуры проверки судебных актов судами вышестоящих инстанций и основания для их отмены или изменения. Таким образом, оспариваемые законоположения не могут расцениваться в качестве нарушающих конституционные права заявителя. Установление же и оценка фактических обстоятельств конкретного дела, равно как и проверка правильности применения судом норм права с учетом данных обстоятельств, на что, по существу, направлены доводы ООО «Сварщик Групп», не относятся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«Сварщик Групп»,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