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2459-О/2023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Лялина Станислава Викторовича на нарушение его конституционных прав пунктами 2 и 5 статьи 1398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С.В.Лялина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С.В.Лялин оспаривает конституционность пункта 2 статьи 1398 ГК Российской Федерации об оспаривании патента на изобретение, полезную модель или промышленный образец и пункта 5 той же статьи об аннулировании патента на изобретение, полезную модель или промышленный образец, признанного недействительным полностью или частично, с даты подачи заявки на патент. Как следует из представленных материалов, решением арбитражного суда, оставленным без изменения постановлением суда апелляционной инстанции, отказано в удовлетворении требования С.В.Лялина о взыскании 2 компенсации за нарушение исключительного права на изобретение. Суды указали, что патент на это изобретение в соответствии с решением Роспатента признан недействительным полностью и аннулирован с даты подачи заявки на патент. Суды сослались, среди прочего, на разъяснения Пленума Верховного Суда Российской Федерации, в соответствии с которыми не могут быть признаны нарушением прав лица, которому был выдан патент, действия иных лиц по использованию изобретения, полезной модели или промышленного образца, патент на которые признан впоследствии недействительным (пункт 139 постановления от 23 апреля 2019 года № 10 «О применении части четвертой Гражданского кодекса Российской Федерации»). В передаче кассационной жалобы на данные судебные акты и постановление Суда по интеллектуальным правам,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оспариваемые положения статьи 1398 ГК Российской Федерации по смыслу, придаваемому им правоприменительной практикой, противоречат статьям 44 (часть 1) и 46 (часть 1) Конституции Российской Федерации. С.В.Лялин отмечает, что пункт 2 этой статьи позволяет неограниченное количество раз недобросовестно оспаривать патент на объект промышленной собственности в течение всего срока его действия и по истечении этого срока, а пункт 5 той же статьи используется в качестве способа избежать ответственности за нарушение исключительного права в период действия патента. Кроме того, в жалобе указано, что патент может быть оспорен по формальным основаниям после взыскания компенсации за нарушение исключительного права, которую истец обязан будет в связи с этим вернуть. С учетом приведенной позиции С.В.Лялин просит обязать законодателя закрепить в пункте 2 статьи 1398 ГК Российской Федерации срок на оспаривание патента на объект промышленной собственности, а также изложить пункт 5 этой статьи в предложенной им редакции.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Лялина Станислава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