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«Самаратранснефть-Терминал» на нарушение его конституционных прав пунктом 5 статьи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«Самаратранснефть-Терминал»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«Самаратранснефть- Терминал» (далее также – общество) оспаривает конституционность пункта 5 статьи 395 ГК Российской Федерации, согласно которому начисление процентов на проценты (сложные проценты) не допускается, если иное не установлено законом; по обязательствам, исполняемым при осуществлении сторонами предпринимательской деятельности, применение сложных процентов не допускается, если иное не предусмотрено законом или договором. 2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гражданина П. (индивидуального предпринимателя) о взыскании с общества процентов за пользование чужими денежными средствами, начисленных на несвоевременно выплаченную сумму основного долга по погашению облигаций, суммы накопленного купонного дохода, а также суммы процентов, предусмотренных положениями Федерального закона от 26 октября 2002 года № 127-ФЗ «О несостоятельности (банкротстве)» (далее также – мораторные проценты), за период, в течение которого в отношении общества была введена процедура наблюдения (и, соответственно, проценты в виде предусмотренного решением о выпуске облигаций купонного дохода не начислялись). При этом суды отвергли доводы общества о необоснованном начислении процентов на ранее взысканные мораторные проценты. Заявитель указывает в жалобе на имеющуюся неопределенность в вопросе о том, соответствует ли пункт 5 статьи 395 ГК Российской Федерации статьям 17 (часть 3), 19 (часть 1), 35 (часть 2) и 46 (часть 1) Конституции Российской Федерации в той мере, в какой он по смыслу, придаваемому ей правоприменительной практикой, допускает начисление процентов на проценты, начисленные в соответствии с пунктом 4 статьи 63 Федерального закона «О несостоятельности (банкротстве)» за период проведения в отношении должника наблюдения (мораторные проценты), вместо процентов, предусмотренных обязательством. По мнению общества, такое понимание противоречит конституционно-правовому смыслу названного положения, в связи с чем оно просит признать данную норму соответствующей Конституции Российской Федерации в предложенном им истолковании.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5 статьи 395 ГК Российской Федерации устанавливает общее правило о недопущении начисления охранительных сложных процентов, которое, однако, может быть изменено законом, а применительно к обязательствам, исполняемым при осуществлении сторонами предпринимательской деятельности, также и договором. Данное правило направлено на установление справедливого баланса интересов должника и кредитора (определения Конституционного Суда Российской Федерации от 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«Самаратранснефть-Терминал»,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