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«КрасТендер» на нарушение его конституционных прав Постановлением Правительства Российской Федерации «Об утверждении государственной программы Российской Федерации «Развитие физической культуры и спорта» и приказом Министерства спорта Российской Федерации «Об утверждении перечня спортивно-технологического оборудования для совершенствования спортивной подготовки по хоккею, перечня спортивно-технологического оборудования для создания малых спортивных площадок, перечня спортивно-технологического оборудования для создания или модернизации физкультурно- оздоровительных комплексов открытого типа и (или) физкультурно- оздоровительных комплексов для центров развития внешкольного спорта, перечня спортивно-технологического оборудования для создания или модернизации футбольных полей с искусственным покрытием»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«КрасТендер»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«КрасТендер» (далее также – общество) оспаривает конституционность Постановления Правительства Российской Федерации от 15 апреля 2014 года № 302 «Об утверждении государственной программы Российской Федерации «Развитие физической культуры и спорта» (утратило силу с 1 января 2022 года) и приказа Министерства спорта Российской Федерации от 27 декабря 2019 года № 1134 «Об утверждении перечня спортивно-технологического оборудования для совершенствования спортивной подготовки по хоккею, перечня спортивно-технологического оборудования для создания малых спортивных площадок, перечня спортивно-технологического оборудования для создания или модернизации физкультурно-оздоровительных комплексов открытого типа и (или) физкультурно-оздоровительных комплексов для центров развития внешкольного спорта, перечня спортивно- технологического оборудования для создания или модернизации футбольных полей с искусственным покрытием».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заявления общества к антимонопольному органу о признании незаконным решения, которым жалоба данного общества на действия заказчиков и организатора совместного аукциона признана необоснованной. В обоснование своей позиции заявитель среди прочего указывал, что организатором торгов неправомерно объединены в один лот товары, технологически и функционально не связанные между собой. Суды пришли к выводу, что закупаемое спортивное, технологическое оборудование и инвентарь функционально и технологически взаимосвязано, служит единому назначению и представляет собой комплексы оборудования (каждый – для одной спортивной площадки), приобретаемые в целях укрепления и расширения материально-технической базы для занятия хоккеем и формирования целостной системы физкультурных, спортивных и тренировочных мероприятий, способствующих развитию хоккея. 3 По мнению заявителя, оспариваемые нормативные акты противоречат статье 8 (часть 1) Конституции Российской Федерации, поскольку они позволяют осуществлять закупку для государственных (муниципальных) нужд разнородных технологически и функционально не связанных товаров в составе одного лота, чем ограничивают конкуренцию.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Примененное в деле заявителя Постановление Правительства Российской Федерации от 15 апреля 2014 года № 302 принято с целью развития физической культуры и спорта и – как не регулирующее отношений, возникающих в связи с формированием лотов при осуществлении закупок отдельных видов товаров, работ, услуг, – само по себе не нарушает в указанном в жалобе аспекте конституционные права заявителя. Доводы же, приведенные обществом в обоснование своей позиции, свидетельствуют о том, что, формально оспаривая конституционность перечисленных в жалобе нормативных положений,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установление и оценка фактических обстоятельств, имеющих значение для разрешения конкретного дела с участием общества, равно как и проверка правильности применения оспариваемых норм с учетом данных обстоятельств, а также разрешение вопроса о конституционности ведомственных нормативных актов, к которым относится приказ Министерства спорта Российской Федерации, к компетенции Конституционного Суда Российской Федерации, установленной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4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«КрасТендер»,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