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«Плавит» на нарушение его конституционных прав пунктом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«Плавит»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«Плавит» (далее также – ООО «Плавит», Общество) оспаривает конституционность пункта 2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Как следует из представленных материалов, вступившим в законную силу решением арбитражного суда отказано в удовлетворении требования ООО «Плавит» о признании недействительным решения налогового органа, которым Общество привлечено к налоговой ответственности и ему 2 доначислены недоимка и пени, в том числе по налогу на добавленную стоимость (далее также – НДС). При этом суды пришли к выводу, что налоговый орган правомерно отказал налогоплательщику в принятии к вычету сумм НДС, предъявленных отдельными контрагентами, поскольку они являлись «техническими» организациями, не ведущими хозяйственную деятельность, и соответствующие операции не имели реального характера. По мнению ООО «Плавит», оспариваемая норма противоречит статьям 18, 19, 34, 35, 46, 55 и 57 Конституции Российской Федерации, поскольку позволяет произвольно отказывать налогоплательщику в вычетах сумм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правовых позиций, неоднократно выраженных Конституционным Судом Российской Федерации,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3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«Плавит»,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