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Бойко Александра Валерьевича на нарушение его конституционных прав подпунктами 3 и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А.В.Бойко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А.В.Бойко оспаривает конституционность следующих положений статьи 1109 ГК Российской Федерации, устанавливающих, что не подлежат возврату в качестве неосновательного обогащения заработная плата и приравненные к ней платежи,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 недобросовестности с его стороны и счетной ошибки, денежные суммы и иное имущество, предоставленные во 2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 (подпункты 3 и 4). Как следует из представленных материалов, решением суда общей юрисдикции, оставленным без изменения определением суда апелляционной инстанции, А.В.Бойко отказано в удовлетворении исковых требований к бывшей супруге, с которой им ранее было заключено соглашение об уплате алиментов на несовершеннолетнего ребенка, о взыскании неосновательного обогащения, полученного за период с 2018 по 2020 годы, и процентов за пользование чужими денежными средствами. Суды исходили из того, что заявитель при передаче денежных средств знал об отсутствии у него обязательств по передаче бывшей супруге денежных средств, за исключением алиментных обязательств, а также об отсутствии какого-либо встречного обязательства, при этом его воля была направлена на передачу денежных средств.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А.В.Бойко, оспариваемые положения противоречат статьям 2, 15 (части 1, 2 и 4), 18, 19 (части 1 и 2), 33, 45, 46 (части 1 и 2) и 55 (часть 2) Конституции Российской Федерации, поскольку они по смыслу, придаваемому им правоприменительной практикой, позволяют неосновательно обогатившимся лицам избегать возврата полученного имущества, предусматривают неравный доступ граждан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Содержащиеся в статье 1109 ГК Российской Федерации – и, в частности, в ее подпунктах 3 и 4 – положения основаны на презумпции 3 добросовестности и разумности действий участников гражданского оборота (пункт 5 статьи 10 ГК Российской Федерации), имеют целью обеспечение справедливого баланса их интересов, служат реализации предписаний статей 17 (часть 3), 35, 46 и 55 (часть 3) Конституции Российской Федерации и сами по себе не могут расцениваться как нарушающие в обозначенном в жалобе аспекте конституционные права заявителя, в деле с участием которого суд апелляционной инстанции подчеркнул, что заявителю было известно, что оснований для перечисления денежных средств бывшей супруге не имелось, а получение ею денежных средств произошло при отсутствии каких-либо недобросовестных действий с ее стороны.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Бойко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