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2457-О/2023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Шкурихина Никиты Витальевича на нарушение его конституционных прав статьей 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Н.В.Шкурихина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Н.В.Шкурихин оспаривает конституционность статьи 81 ГК Российской Федерации, а фактически – ее пункта 2, закрепляющего, что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Как следует из представленных материалов, решением суда общей юрисдикции, оставленным без изменения определением суда апелляционной инстанции, отказано в признании договора залога жилого помещения, заключенного гражданином Ш., недействительным. В обоснование иска, 2 предъявленного в том числе в интересах Н.В.Шкурихина, было указано, что у детей Ш., включая заявителя, в связи с использованием при приобретении жилого помещения средств материнского (семейного) капитала возникли доли в праве собственности на жилое помещение и что договор залога заключен без согласия органа опеки и попечительства. Суд первой инстанции отметил, что доли в праве собственности на жилое помещение в рассматриваемой ситуации возникают с момента государственной регистрации и что доказательства государственной регистрации прав за супругой и детьми Ш. отсутствуют. Суд апелляционной инстанции, сославшись на то, что договор залога спорного жилого помещения прекращен, а право собственности на него зарегистрировано за взыскателем, также пришел к выводу о выборе в деле способа защиты, не направленного на восстановление нарушенного права.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38–40 Конституции Российской Федерации, поскольку оно, имея правоподтверждающий характер, ограничивает действие правопорождающих норм Конституции Российской Федерации и специальных федеральных законов. В жалобе указано на возможность произвольного лишения прав граждан, которые проживали в жилом помещении, приобретенном с использованием средств материнского (семейного) капитала, и не имели в силу возраста возможности зарегистрировать свое право на него. Кроме того, Н.В.Шкурихин просит внести в статью 81 ГК Российской Федерации изменения, определяющие точный правовой характер регистрационных действий в отношении прав на имущество, подлежащих государственной регистрации.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Законодательное закрепление необходимости государственной регистрации права на недвижимое имущество является признанием со стороны государства публично-правового интереса в установлении принадлежности недвижимого имущества конкретному лицу, чем обеспечиваются защита прав других лиц, стабильность гражданского оборота и предсказуемость его развития (постановления Конституционного Суда Российской Федерации от 24 марта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Шкурихина Никиты Витальевича,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